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Règlement du marché de Noël</w:t>
      </w:r>
    </w:p>
    <w:p>
      <w:r>
        <w:rPr>
          <w:color w:val="55545E"/>
          <w:sz w:val="18"/>
        </w:rPr>
        <w:t xml:space="preserve">Modèle à adapter : remplacez ou supprimez chaque passage surligné. Si le marché a lieu sur l'espace public, faites relire le règlement par la mairie, qui peut avoir ses propres exigences (arrêté, convention d'occupation).</w:t>
      </w:r>
    </w:p>
    <w:p>
      <w:pPr>
        <w:pStyle w:val="Heading1"/>
      </w:pPr>
      <w:r>
        <w:t xml:space="preserve">Article 1 — Organisation</w:t>
      </w:r>
    </w:p>
    <w:p>
      <w:r>
        <w:t xml:space="preserve">Le marché de Noël </w:t>
      </w:r>
      <w:r>
        <w:rPr>
          <w:shd w:val="clear" w:color="auto" w:fill="FFF4C7"/>
        </w:rPr>
        <w:t xml:space="preserve">[nom du marché]</w:t>
      </w:r>
      <w:r>
        <w:t xml:space="preserve"> est organisé par </w:t>
      </w:r>
      <w:r>
        <w:rPr>
          <w:shd w:val="clear" w:color="auto" w:fill="FFF4C7"/>
        </w:rPr>
        <w:t xml:space="preserve">[organisateur, adresse]</w:t>
      </w:r>
      <w:r>
        <w:t xml:space="preserve">, </w:t>
      </w:r>
      <w:r>
        <w:rPr>
          <w:shd w:val="clear" w:color="auto" w:fill="FFF4C7"/>
        </w:rPr>
        <w:t xml:space="preserve">[lieu précis]</w:t>
      </w:r>
      <w:r>
        <w:t xml:space="preserve">, du </w:t>
      </w:r>
      <w:r>
        <w:rPr>
          <w:shd w:val="clear" w:color="auto" w:fill="FFF4C7"/>
        </w:rPr>
        <w:t xml:space="preserve">[date]</w:t>
      </w:r>
      <w:r>
        <w:t xml:space="preserve"> au </w:t>
      </w:r>
      <w:r>
        <w:rPr>
          <w:shd w:val="clear" w:color="auto" w:fill="FFF4C7"/>
        </w:rPr>
        <w:t xml:space="preserve">[date]</w:t>
      </w:r>
      <w:r>
        <w:t xml:space="preserve">.</w:t>
      </w:r>
    </w:p>
    <w:p>
      <w:pPr>
        <w:pStyle w:val="Heading1"/>
      </w:pPr>
      <w:r>
        <w:t xml:space="preserve">Article 2 — Dates et horaires</w:t>
      </w:r>
    </w:p>
    <w:p>
      <w:pPr>
        <w:pStyle w:val="ListParagraph"/>
        <w:numPr>
          <w:ilvl w:val="0"/>
          <w:numId w:val="1"/>
        </w:numPr>
      </w:pPr>
      <w:r>
        <w:t xml:space="preserve">Ouverture au public : </w:t>
      </w:r>
      <w:r>
        <w:rPr>
          <w:shd w:val="clear" w:color="auto" w:fill="FFF4C7"/>
        </w:rPr>
        <w:t xml:space="preserve">[jours et horaires]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Installation des exposants : </w:t>
      </w:r>
      <w:r>
        <w:rPr>
          <w:shd w:val="clear" w:color="auto" w:fill="FFF4C7"/>
        </w:rPr>
        <w:t xml:space="preserve">[jour et créneau]</w:t>
      </w:r>
      <w:r>
        <w:t xml:space="preserve">. Démontage : </w:t>
      </w:r>
      <w:r>
        <w:rPr>
          <w:shd w:val="clear" w:color="auto" w:fill="FFF4C7"/>
        </w:rPr>
        <w:t xml:space="preserve">[jour et créneau]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L'exposant est présent sur son stand pendant toutes les heures d'ouverture. Aucun stand ne ferme ni ne se démonte avant l'heure de fermeture.</w:t>
      </w:r>
    </w:p>
    <w:p>
      <w:pPr>
        <w:pStyle w:val="Heading1"/>
      </w:pPr>
      <w:r>
        <w:t xml:space="preserve">Article 3 — Exposants et produits admis</w:t>
      </w:r>
    </w:p>
    <w:p>
      <w:r>
        <w:t xml:space="preserve">Le marché est ouvert aux artisans, créateurs, producteurs, commerçants et associations proposant des produits en rapport avec Noël : artisanat, décoration, gastronomie, cadeaux. </w:t>
      </w:r>
      <w:r>
        <w:rPr>
          <w:shd w:val="clear" w:color="auto" w:fill="FFF4C7"/>
        </w:rPr>
        <w:t xml:space="preserve">[Revente de produits manufacturés : acceptée / non acceptée.]</w:t>
      </w:r>
    </w:p>
    <w:p>
      <w:r>
        <w:t xml:space="preserve">L'organisateur retient les candidatures selon la qualité et l'originalité des produits et la diversité de l'offre ; il évite de placer côte à côte des stands identiques. L'exposant ne vend que les produits déclarés dans son dossier.</w:t>
      </w:r>
    </w:p>
    <w:p>
      <w:pPr>
        <w:pStyle w:val="Heading1"/>
      </w:pPr>
      <w:r>
        <w:t xml:space="preserve">Article 4 — Candidature et pièces à fournir</w:t>
      </w:r>
    </w:p>
    <w:p>
      <w:r>
        <w:t xml:space="preserve">Le dossier de candidature complet est à retourner avant le </w:t>
      </w:r>
      <w:r>
        <w:rPr>
          <w:shd w:val="clear" w:color="auto" w:fill="FFF4C7"/>
        </w:rPr>
        <w:t xml:space="preserve">[date]</w:t>
      </w:r>
      <w:r>
        <w:t xml:space="preserve">. Il comprend :</w:t>
      </w:r>
    </w:p>
    <w:p>
      <w:pPr>
        <w:pStyle w:val="ListParagraph"/>
        <w:numPr>
          <w:ilvl w:val="0"/>
          <w:numId w:val="1"/>
        </w:numPr>
      </w:pPr>
      <w:r>
        <w:t xml:space="preserve">le dossier de candidature rempli et signé ;</w:t>
      </w:r>
    </w:p>
    <w:p>
      <w:pPr>
        <w:pStyle w:val="ListParagraph"/>
        <w:numPr>
          <w:ilvl w:val="0"/>
          <w:numId w:val="1"/>
        </w:numPr>
      </w:pPr>
      <w:r>
        <w:t xml:space="preserve">un justificatif d'activité : extrait Kbis, inscription au répertoire des métiers ou avis de situation SIRET ; pour une association, ses statuts ou son numéro RNA ;</w:t>
      </w:r>
    </w:p>
    <w:p>
      <w:pPr>
        <w:pStyle w:val="ListParagraph"/>
        <w:numPr>
          <w:ilvl w:val="0"/>
          <w:numId w:val="1"/>
        </w:numPr>
      </w:pPr>
      <w:r>
        <w:t xml:space="preserve">une attestation d'assurance responsabilité civile valable aux dates du marché ;</w:t>
      </w:r>
    </w:p>
    <w:p>
      <w:pPr>
        <w:pStyle w:val="ListParagraph"/>
        <w:numPr>
          <w:ilvl w:val="0"/>
          <w:numId w:val="1"/>
        </w:numPr>
      </w:pPr>
      <w:r>
        <w:t xml:space="preserve">la carte de commerçant ambulant, si l'exposant y est soumis ;</w:t>
      </w:r>
    </w:p>
    <w:p>
      <w:pPr>
        <w:pStyle w:val="ListParagraph"/>
        <w:numPr>
          <w:ilvl w:val="0"/>
          <w:numId w:val="1"/>
        </w:numPr>
      </w:pPr>
      <w:r>
        <w:t xml:space="preserve">des photos des produits et du stand ;</w:t>
      </w:r>
    </w:p>
    <w:p>
      <w:pPr>
        <w:pStyle w:val="ListParagraph"/>
        <w:numPr>
          <w:ilvl w:val="0"/>
          <w:numId w:val="1"/>
        </w:numPr>
      </w:pPr>
      <w:r>
        <w:t xml:space="preserve">l'acompte prévu à l'article 6.</w:t>
      </w:r>
    </w:p>
    <w:p>
      <w:pPr>
        <w:pStyle w:val="Heading1"/>
      </w:pPr>
      <w:r>
        <w:t xml:space="preserve">Article 5 — Emplacements et tarifs</w:t>
      </w:r>
    </w:p>
    <w:p>
      <w:pPr>
        <w:pStyle w:val="ListParagraph"/>
        <w:numPr>
          <w:ilvl w:val="0"/>
          <w:numId w:val="1"/>
        </w:numPr>
      </w:pPr>
      <w:r>
        <w:t xml:space="preserve">Chalet de </w:t>
      </w:r>
      <w:r>
        <w:rPr>
          <w:shd w:val="clear" w:color="auto" w:fill="FFF4C7"/>
        </w:rPr>
        <w:t xml:space="preserve">[dimensions]</w:t>
      </w:r>
      <w:r>
        <w:t xml:space="preserve"> : </w:t>
      </w:r>
      <w:r>
        <w:rPr>
          <w:shd w:val="clear" w:color="auto" w:fill="FFF4C7"/>
        </w:rPr>
        <w:t xml:space="preserve">[tarif]</w:t>
      </w:r>
      <w:r>
        <w:t xml:space="preserve"> € pour la durée du marché. Emplacement nu de </w:t>
      </w:r>
      <w:r>
        <w:rPr>
          <w:shd w:val="clear" w:color="auto" w:fill="FFF4C7"/>
        </w:rPr>
        <w:t xml:space="preserve">[x]</w:t>
      </w:r>
      <w:r>
        <w:t xml:space="preserve"> m : </w:t>
      </w:r>
      <w:r>
        <w:rPr>
          <w:shd w:val="clear" w:color="auto" w:fill="FFF4C7"/>
        </w:rPr>
        <w:t xml:space="preserve">[tarif]</w:t>
      </w:r>
      <w:r>
        <w:t xml:space="preserve"> €.</w:t>
      </w:r>
    </w:p>
    <w:p>
      <w:pPr>
        <w:pStyle w:val="ListParagraph"/>
        <w:numPr>
          <w:ilvl w:val="0"/>
          <w:numId w:val="1"/>
        </w:numPr>
      </w:pPr>
      <w:r>
        <w:t xml:space="preserve">Branchement électrique : </w:t>
      </w:r>
      <w:r>
        <w:rPr>
          <w:shd w:val="clear" w:color="auto" w:fill="FFF4C7"/>
        </w:rPr>
        <w:t xml:space="preserve">[inclus / tarif]</w:t>
      </w:r>
      <w:r>
        <w:t xml:space="preserve">, dans la limite de la puissance déclarée.</w:t>
      </w:r>
    </w:p>
    <w:p>
      <w:pPr>
        <w:pStyle w:val="ListParagraph"/>
        <w:numPr>
          <w:ilvl w:val="0"/>
          <w:numId w:val="1"/>
        </w:numPr>
      </w:pPr>
      <w:r>
        <w:t xml:space="preserve">Les emplacements sont attribués par l'organisateur, selon le plan du marché. Ils ne peuvent être ni sous-loués, ni cédés, ni échangés sans son accord.</w:t>
      </w:r>
    </w:p>
    <w:p>
      <w:pPr>
        <w:pStyle w:val="Heading1"/>
      </w:pPr>
      <w:r>
        <w:t xml:space="preserve">Article 6 — Paiement et annulation</w:t>
      </w:r>
    </w:p>
    <w:p>
      <w:pPr>
        <w:pStyle w:val="ListParagraph"/>
        <w:numPr>
          <w:ilvl w:val="0"/>
          <w:numId w:val="1"/>
        </w:numPr>
      </w:pPr>
      <w:r>
        <w:t xml:space="preserve">Acompte de </w:t>
      </w:r>
      <w:r>
        <w:rPr>
          <w:shd w:val="clear" w:color="auto" w:fill="FFF4C7"/>
        </w:rPr>
        <w:t xml:space="preserve">[montant ou pourcentage]</w:t>
      </w:r>
      <w:r>
        <w:t xml:space="preserve"> à la confirmation de l'inscription ; solde avant le </w:t>
      </w:r>
      <w:r>
        <w:rPr>
          <w:shd w:val="clear" w:color="auto" w:fill="FFF4C7"/>
        </w:rPr>
        <w:t xml:space="preserve">[date]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Annulation par l'exposant : </w:t>
      </w:r>
      <w:r>
        <w:rPr>
          <w:shd w:val="clear" w:color="auto" w:fill="FFF4C7"/>
        </w:rPr>
        <w:t xml:space="preserve">[conditions de remboursement selon la date]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Annulation du marché par l'organisateur ou sur décision des autorités : </w:t>
      </w:r>
      <w:r>
        <w:rPr>
          <w:shd w:val="clear" w:color="auto" w:fill="FFF4C7"/>
        </w:rPr>
        <w:t xml:space="preserve">[conditions de remboursement]</w:t>
      </w:r>
      <w:r>
        <w:t xml:space="preserve">.</w:t>
      </w:r>
    </w:p>
    <w:p>
      <w:pPr>
        <w:pStyle w:val="Heading1"/>
      </w:pPr>
      <w:r>
        <w:t xml:space="preserve">Article 7 — Installation, décoration et électricité</w:t>
      </w:r>
    </w:p>
    <w:p>
      <w:pPr>
        <w:pStyle w:val="ListParagraph"/>
        <w:numPr>
          <w:ilvl w:val="0"/>
          <w:numId w:val="1"/>
        </w:numPr>
      </w:pPr>
      <w:r>
        <w:t xml:space="preserve">Chaque stand porte une décoration de Noël soignée, mise en place avant l'ouverture.</w:t>
      </w:r>
    </w:p>
    <w:p>
      <w:pPr>
        <w:pStyle w:val="ListParagraph"/>
        <w:numPr>
          <w:ilvl w:val="0"/>
          <w:numId w:val="1"/>
        </w:numPr>
      </w:pPr>
      <w:r>
        <w:t xml:space="preserve">Le matériel électrique est conforme et en bon état ; les appareils branchés correspondent à la puissance déclarée. </w:t>
      </w:r>
      <w:r>
        <w:rPr>
          <w:shd w:val="clear" w:color="auto" w:fill="FFF4C7"/>
        </w:rPr>
        <w:t xml:space="preserve">[Chauffage d'appoint : interdit / autorisé dans la limite de … W.]</w:t>
      </w:r>
    </w:p>
    <w:p>
      <w:pPr>
        <w:pStyle w:val="ListParagraph"/>
        <w:numPr>
          <w:ilvl w:val="0"/>
          <w:numId w:val="1"/>
        </w:numPr>
      </w:pPr>
      <w:r>
        <w:t xml:space="preserve">L'organisateur peut faire débrancher toute installation qu'il juge dangereuse.</w:t>
      </w:r>
    </w:p>
    <w:p>
      <w:pPr>
        <w:pStyle w:val="Heading1"/>
      </w:pPr>
      <w:r>
        <w:t xml:space="preserve">Article 8 — Produits alimentaires et boissons</w:t>
      </w:r>
    </w:p>
    <w:p>
      <w:pPr>
        <w:pStyle w:val="ListParagraph"/>
        <w:numPr>
          <w:ilvl w:val="0"/>
          <w:numId w:val="1"/>
        </w:numPr>
      </w:pPr>
      <w:r>
        <w:t xml:space="preserve">Les exposants alimentaires respectent les règles d'hygiène et la chaîne du froid, et informent les clients sur les allergènes.</w:t>
      </w:r>
    </w:p>
    <w:p>
      <w:pPr>
        <w:pStyle w:val="ListParagraph"/>
        <w:numPr>
          <w:ilvl w:val="0"/>
          <w:numId w:val="1"/>
        </w:numPr>
      </w:pPr>
      <w:r>
        <w:t xml:space="preserve">La vente de boissons alcoolisées, vin chaud compris, est interdite sans autorisation de débit de boissons temporaire délivrée par le maire. </w:t>
      </w:r>
      <w:r>
        <w:rPr>
          <w:shd w:val="clear" w:color="auto" w:fill="FFF4C7"/>
        </w:rPr>
        <w:t xml:space="preserve">[Cette autorisation est demandée par : l'organisateur / l'exposant.]</w:t>
      </w:r>
    </w:p>
    <w:p>
      <w:pPr>
        <w:pStyle w:val="Heading1"/>
      </w:pPr>
      <w:r>
        <w:t xml:space="preserve">Article 9 — Prix et vente</w:t>
      </w:r>
    </w:p>
    <w:p>
      <w:r>
        <w:t xml:space="preserve">Les prix sont affichés de façon visible et lisible sur chaque produit ou sur le stand. L'exposant respecte la réglementation applicable à son activité.</w:t>
      </w:r>
    </w:p>
    <w:p>
      <w:pPr>
        <w:pStyle w:val="Heading1"/>
      </w:pPr>
      <w:r>
        <w:t xml:space="preserve">Article 10 — Sécurité et propreté</w:t>
      </w:r>
    </w:p>
    <w:p>
      <w:pPr>
        <w:pStyle w:val="ListParagraph"/>
        <w:numPr>
          <w:ilvl w:val="0"/>
          <w:numId w:val="1"/>
        </w:numPr>
      </w:pPr>
      <w:r>
        <w:t xml:space="preserve">Les allées, les issues et l'accès des secours restent dégagés en permanence.</w:t>
      </w:r>
    </w:p>
    <w:p>
      <w:pPr>
        <w:pStyle w:val="ListParagraph"/>
        <w:numPr>
          <w:ilvl w:val="0"/>
          <w:numId w:val="1"/>
        </w:numPr>
      </w:pPr>
      <w:r>
        <w:t xml:space="preserve">Aucun véhicule ne circule dans le périmètre du marché pendant les heures d'ouverture.</w:t>
      </w:r>
    </w:p>
    <w:p>
      <w:pPr>
        <w:pStyle w:val="ListParagraph"/>
        <w:numPr>
          <w:ilvl w:val="0"/>
          <w:numId w:val="1"/>
        </w:numPr>
      </w:pPr>
      <w:r>
        <w:t xml:space="preserve">L'exposant laisse son emplacement propre et trie ses déchets </w:t>
      </w:r>
      <w:r>
        <w:rPr>
          <w:shd w:val="clear" w:color="auto" w:fill="FFF4C7"/>
        </w:rPr>
        <w:t xml:space="preserve">[dans les bacs prévus / qu'il emporte]</w:t>
      </w:r>
      <w:r>
        <w:t xml:space="preserve">.</w:t>
      </w:r>
    </w:p>
    <w:p>
      <w:pPr>
        <w:pStyle w:val="Heading1"/>
      </w:pPr>
      <w:r>
        <w:t xml:space="preserve">Article 11 — Assurance, vol et gardiennage</w:t>
      </w:r>
    </w:p>
    <w:p>
      <w:r>
        <w:t xml:space="preserve">Chaque exposant est responsable de son stand, de ses marchandises et du matériel qui lui est confié ; il lui appartient de les assurer contre le vol et les dégradations. </w:t>
      </w:r>
      <w:r>
        <w:rPr>
          <w:shd w:val="clear" w:color="auto" w:fill="FFF4C7"/>
        </w:rPr>
        <w:t xml:space="preserve">[Gardiennage : assuré de … h à … h / non assuré.]</w:t>
      </w:r>
    </w:p>
    <w:p>
      <w:pPr>
        <w:pStyle w:val="Heading1"/>
      </w:pPr>
      <w:r>
        <w:t xml:space="preserve">Article 12 — Non-respect du règlement</w:t>
      </w:r>
    </w:p>
    <w:p>
      <w:r>
        <w:t xml:space="preserve">Tout manquement au règlement peut entraîner un avertissement puis l'exclusion du marché, </w:t>
      </w:r>
      <w:r>
        <w:rPr>
          <w:shd w:val="clear" w:color="auto" w:fill="FFF4C7"/>
        </w:rPr>
        <w:t xml:space="preserve">[sans remboursement / avec remboursement au prorata]</w:t>
      </w:r>
      <w:r>
        <w:t xml:space="preserve">, et le refus d'une candidature les années suivantes.</w:t>
      </w:r>
    </w:p>
    <w:p>
      <w:pPr>
        <w:pStyle w:val="Heading1"/>
      </w:pPr>
      <w:r>
        <w:t xml:space="preserve">Article 13 — Données personnelles</w:t>
      </w:r>
    </w:p>
    <w:p>
      <w:r>
        <w:rPr>
          <w:color w:val="55545E"/>
          <w:sz w:val="18"/>
        </w:rPr>
        <w:t xml:space="preserve">Données personnelles : ces informations servent à gérer les candidatures, les emplacements et la facturation du marché. </w:t>
      </w:r>
      <w:r>
        <w:rPr>
          <w:shd w:val="clear" w:color="auto" w:fill="FFF4C7"/>
          <w:color w:val="55545E"/>
          <w:sz w:val="18"/>
        </w:rPr>
        <w:t xml:space="preserve">[Organisateur]</w:t>
      </w:r>
      <w:r>
        <w:rPr>
          <w:color w:val="55545E"/>
          <w:sz w:val="18"/>
        </w:rPr>
        <w:t xml:space="preserve"> les conserve </w:t>
      </w:r>
      <w:r>
        <w:rPr>
          <w:shd w:val="clear" w:color="auto" w:fill="FFF4C7"/>
          <w:color w:val="55545E"/>
          <w:sz w:val="18"/>
        </w:rPr>
        <w:t xml:space="preserve">[durée]</w:t>
      </w:r>
      <w:r>
        <w:rPr>
          <w:color w:val="55545E"/>
          <w:sz w:val="18"/>
        </w:rPr>
        <w:t xml:space="preserve"> et ne les transmet qu'aux autorités qui les demandent. Vous pouvez y accéder, les faire rectifier ou effacer en écrivant à </w:t>
      </w:r>
      <w:r>
        <w:rPr>
          <w:shd w:val="clear" w:color="auto" w:fill="FFF4C7"/>
          <w:color w:val="55545E"/>
          <w:sz w:val="18"/>
        </w:rPr>
        <w:t xml:space="preserve">[adresse e-mail]</w:t>
      </w:r>
      <w:r>
        <w:rPr>
          <w:color w:val="55545E"/>
          <w:sz w:val="18"/>
        </w:rPr>
        <w:t xml:space="preserve">.</w:t>
      </w:r>
    </w:p>
    <w:p>
      <w:r>
        <w:br w:type="page"/>
      </w:r>
    </w:p>
    <w:p>
      <w:pPr>
        <w:pStyle w:val="Heading1"/>
      </w:pPr>
      <w:r>
        <w:t xml:space="preserve">Acceptation du règlement</w:t>
      </w:r>
    </w:p>
    <w:p>
      <w:r>
        <w:t xml:space="preserve">Je soussigné(e) </w:t>
      </w:r>
      <w:r>
        <w:rPr>
          <w:shd w:val="clear" w:color="auto" w:fill="FFF4C7"/>
        </w:rPr>
        <w:t xml:space="preserve">[nom de l'exposant]</w:t>
      </w:r>
      <w:r>
        <w:t xml:space="preserve"> déclare avoir pris connaissance du présent règlement et m'engage à le respecter.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trHeight w:val="1500" w:hRule="atLeast"/>
        </w:trPr>
        <w:tc>
          <w:tcPr>
            <w:tcW w:w="4819" w:type="dxa"/>
          </w:tcPr>
          <w:p>
            <w:pPr>
              <w:tabs>
                <w:tab w:val="right" w:leader="dot" w:pos="4419"/>
              </w:tabs>
              <w:spacing w:before="160" w:after="80"/>
            </w:pPr>
            <w:r>
              <w:t xml:space="preserve">Fait à : </w:t>
            </w:r>
            <w:r>
              <w:tab/>
            </w:r>
          </w:p>
          <w:p>
            <w:pPr>
              <w:tabs>
                <w:tab w:val="right" w:leader="dot" w:pos="4419"/>
              </w:tabs>
              <w:spacing w:before="160" w:after="80"/>
            </w:pPr>
            <w:r>
              <w:t xml:space="preserve">Le : </w:t>
            </w:r>
            <w:r>
              <w:tab/>
            </w:r>
          </w:p>
        </w:tc>
        <w:tc>
          <w:tcPr>
            <w:tcW w:w="4819" w:type="dxa"/>
            <w:tcBorders>
              <w:top w:val="single" w:sz="4" w:space="0" w:color="B9B9B0"/>
              <w:left w:val="single" w:sz="4" w:space="0" w:color="B9B9B0"/>
              <w:bottom w:val="single" w:sz="4" w:space="0" w:color="B9B9B0"/>
              <w:right w:val="single" w:sz="4" w:space="0" w:color="B9B9B0"/>
            </w:tcBorders>
          </w:tcPr>
          <w:p>
            <w:r>
              <w:rPr>
                <w:i/>
                <w:color w:val="55545E"/>
                <w:sz w:val="18"/>
              </w:rPr>
              <w:t xml:space="preserve">Signature précédée de la mention « Lu et approuvé »</w:t>
            </w:r>
          </w:p>
        </w:tc>
      </w:tr>
    </w:tbl>
    <w:p/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</w:pPr>
    <w:r>
      <w:rPr>
        <w:color w:val="55545E"/>
        <w:sz w:val="16"/>
      </w:rPr>
      <w:t xml:space="preserve">Modèle gratuit proposé par Outilyx · www.outilyx.com/modeles</w:t>
    </w:r>
    <w:r>
      <w:rPr>
        <w:color w:val="55545E"/>
        <w:sz w:val="16"/>
      </w:rPr>
      <w:tab/>
    </w:r>
    <w:fldSimple w:instr="PAGE">
      <w:r>
        <w:rPr>
          <w:color w:val="55545E"/>
          <w:sz w:val="16"/>
        </w:rPr>
        <w:t xml:space="preserve"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7161C"/>
        <w:sz w:val="22"/>
        <w:szCs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  <w:pBdr>
        <w:bottom w:val="single" w:sz="12" w:space="4" w:color="1F4DFF"/>
      </w:pBdr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4DFF"/>
      <w:sz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</w:rPr>
  </w:style>
  <w:style w:type="paragraph" w:styleId="ListParagraph">
    <w:name w:val="List Paragraph"/>
    <w:basedOn w:val="Normal"/>
    <w:next w:val="Normal"/>
    <w:qFormat/>
    <w:pPr>
      <w:spacing w:after="60"/>
      <w:contextualSpacing/>
    </w:pPr>
    <w:rPr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Règlement du marché de Noël</dc:title>
  <dc:creator>Outilyx</dc:creator>
  <dc:language>fr-FR</dc:language>
</cp:coreProperties>
</file>